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sz w:val="32"/>
          <w:szCs w:val="32"/>
        </w:rPr>
      </w:pPr>
      <w:r>
        <w:rPr>
          <w:rFonts w:eastAsia="黑体"/>
          <w:sz w:val="32"/>
          <w:szCs w:val="32"/>
        </w:rPr>
        <w:t>附件6</w:t>
      </w:r>
    </w:p>
    <w:p>
      <w:pPr>
        <w:spacing w:after="157" w:afterLines="50"/>
        <w:jc w:val="center"/>
        <w:outlineLvl w:val="0"/>
        <w:rPr>
          <w:rFonts w:eastAsia="方正小标宋简体"/>
          <w:sz w:val="44"/>
          <w:szCs w:val="44"/>
        </w:rPr>
      </w:pPr>
      <w:bookmarkStart w:id="0" w:name="_GoBack"/>
      <w:r>
        <w:rPr>
          <w:rFonts w:eastAsia="方正小标宋简体"/>
          <w:sz w:val="44"/>
          <w:szCs w:val="44"/>
        </w:rPr>
        <w:t>研究生课程思政教学研究示范中心</w:t>
      </w:r>
      <w:r>
        <w:rPr>
          <w:rFonts w:eastAsia="方正小标宋简体"/>
          <w:kern w:val="0"/>
          <w:sz w:val="44"/>
          <w:szCs w:val="44"/>
        </w:rPr>
        <w:t>（培育）</w:t>
      </w:r>
      <w:r>
        <w:rPr>
          <w:rFonts w:eastAsia="方正小标宋简体"/>
          <w:sz w:val="44"/>
          <w:szCs w:val="44"/>
        </w:rPr>
        <w:t>遴选指标体系</w:t>
      </w:r>
    </w:p>
    <w:bookmarkEnd w:id="0"/>
    <w:tbl>
      <w:tblPr>
        <w:tblStyle w:val="2"/>
        <w:tblW w:w="14919" w:type="dxa"/>
        <w:jc w:val="center"/>
        <w:tblLayout w:type="autofit"/>
        <w:tblCellMar>
          <w:top w:w="0" w:type="dxa"/>
          <w:left w:w="108" w:type="dxa"/>
          <w:bottom w:w="0" w:type="dxa"/>
          <w:right w:w="108" w:type="dxa"/>
        </w:tblCellMar>
      </w:tblPr>
      <w:tblGrid>
        <w:gridCol w:w="1984"/>
        <w:gridCol w:w="1475"/>
        <w:gridCol w:w="10460"/>
        <w:gridCol w:w="1000"/>
      </w:tblGrid>
      <w:tr>
        <w:tblPrEx>
          <w:tblCellMar>
            <w:top w:w="0" w:type="dxa"/>
            <w:left w:w="108" w:type="dxa"/>
            <w:bottom w:w="0" w:type="dxa"/>
            <w:right w:w="108" w:type="dxa"/>
          </w:tblCellMar>
        </w:tblPrEx>
        <w:trPr>
          <w:trHeight w:val="400"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 w:val="22"/>
              </w:rPr>
            </w:pPr>
            <w:r>
              <w:rPr>
                <w:rFonts w:eastAsia="仿宋_GB2312"/>
                <w:b/>
                <w:bCs/>
                <w:kern w:val="0"/>
                <w:sz w:val="22"/>
              </w:rPr>
              <w:t>一级指标</w:t>
            </w:r>
          </w:p>
        </w:tc>
        <w:tc>
          <w:tcPr>
            <w:tcW w:w="147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 w:val="22"/>
              </w:rPr>
            </w:pPr>
            <w:r>
              <w:rPr>
                <w:rFonts w:eastAsia="仿宋_GB2312"/>
                <w:b/>
                <w:bCs/>
                <w:kern w:val="0"/>
                <w:sz w:val="22"/>
              </w:rPr>
              <w:t>二级指标</w:t>
            </w:r>
          </w:p>
        </w:tc>
        <w:tc>
          <w:tcPr>
            <w:tcW w:w="1046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 w:val="22"/>
              </w:rPr>
            </w:pPr>
            <w:r>
              <w:rPr>
                <w:rFonts w:eastAsia="仿宋_GB2312"/>
                <w:b/>
                <w:bCs/>
                <w:kern w:val="0"/>
                <w:sz w:val="22"/>
              </w:rPr>
              <w:t>指标说明</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 w:val="22"/>
              </w:rPr>
            </w:pPr>
            <w:r>
              <w:rPr>
                <w:rFonts w:eastAsia="仿宋_GB2312"/>
                <w:b/>
                <w:bCs/>
                <w:kern w:val="0"/>
                <w:sz w:val="22"/>
              </w:rPr>
              <w:t>分值</w:t>
            </w:r>
          </w:p>
        </w:tc>
      </w:tr>
      <w:tr>
        <w:tblPrEx>
          <w:tblCellMar>
            <w:top w:w="0" w:type="dxa"/>
            <w:left w:w="108" w:type="dxa"/>
            <w:bottom w:w="0" w:type="dxa"/>
            <w:right w:w="108" w:type="dxa"/>
          </w:tblCellMar>
        </w:tblPrEx>
        <w:trPr>
          <w:trHeight w:val="480" w:hRule="atLeast"/>
          <w:jc w:val="center"/>
        </w:trPr>
        <w:tc>
          <w:tcPr>
            <w:tcW w:w="1984"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2"/>
              </w:rPr>
            </w:pPr>
            <w:r>
              <w:rPr>
                <w:kern w:val="0"/>
                <w:sz w:val="22"/>
              </w:rPr>
              <w:t>组织机构</w:t>
            </w:r>
          </w:p>
          <w:p>
            <w:pPr>
              <w:widowControl/>
              <w:jc w:val="center"/>
              <w:rPr>
                <w:kern w:val="0"/>
                <w:sz w:val="22"/>
              </w:rPr>
            </w:pPr>
            <w:r>
              <w:rPr>
                <w:kern w:val="0"/>
                <w:sz w:val="22"/>
              </w:rPr>
              <w:t>（10分）</w:t>
            </w: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机构设置</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中心工作规划清晰，任务职责明确，建立长效的部门协同联动机制。</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5</w:t>
            </w:r>
          </w:p>
        </w:tc>
      </w:tr>
      <w:tr>
        <w:tblPrEx>
          <w:tblCellMar>
            <w:top w:w="0" w:type="dxa"/>
            <w:left w:w="108" w:type="dxa"/>
            <w:bottom w:w="0" w:type="dxa"/>
            <w:right w:w="108" w:type="dxa"/>
          </w:tblCellMar>
        </w:tblPrEx>
        <w:trPr>
          <w:trHeight w:val="660" w:hRule="atLeast"/>
          <w:jc w:val="center"/>
        </w:trPr>
        <w:tc>
          <w:tcPr>
            <w:tcW w:w="1984"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2"/>
              </w:rPr>
            </w:pP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运行机制</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中心运行机制完备，能够建立学院与学校课程思政教学示范中心及其他部门的工作协调机制，建立教师参与课程思政的评价机制，加强课程思政研究过程监督和管理，形成有效的监督管理机制。</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5</w:t>
            </w:r>
          </w:p>
        </w:tc>
      </w:tr>
      <w:tr>
        <w:tblPrEx>
          <w:tblCellMar>
            <w:top w:w="0" w:type="dxa"/>
            <w:left w:w="108" w:type="dxa"/>
            <w:bottom w:w="0" w:type="dxa"/>
            <w:right w:w="108" w:type="dxa"/>
          </w:tblCellMar>
        </w:tblPrEx>
        <w:trPr>
          <w:trHeight w:val="720" w:hRule="atLeast"/>
          <w:jc w:val="center"/>
        </w:trPr>
        <w:tc>
          <w:tcPr>
            <w:tcW w:w="1984"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2"/>
              </w:rPr>
            </w:pPr>
            <w:r>
              <w:rPr>
                <w:kern w:val="0"/>
                <w:sz w:val="22"/>
              </w:rPr>
              <w:t>队伍建设</w:t>
            </w:r>
          </w:p>
          <w:p>
            <w:pPr>
              <w:widowControl/>
              <w:jc w:val="center"/>
              <w:rPr>
                <w:kern w:val="0"/>
                <w:sz w:val="22"/>
              </w:rPr>
            </w:pPr>
            <w:r>
              <w:rPr>
                <w:kern w:val="0"/>
                <w:sz w:val="22"/>
              </w:rPr>
              <w:t>（12分）</w:t>
            </w: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中心负责人</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中心负责人政治立场坚定，师德师风良好，对如何结合本校办学定位和专业特色开展课程思政建设有深刻理解，具有丰富的课程思政建设实践经验和理论研究成果。</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6</w:t>
            </w:r>
          </w:p>
        </w:tc>
      </w:tr>
      <w:tr>
        <w:tblPrEx>
          <w:tblCellMar>
            <w:top w:w="0" w:type="dxa"/>
            <w:left w:w="108" w:type="dxa"/>
            <w:bottom w:w="0" w:type="dxa"/>
            <w:right w:w="108" w:type="dxa"/>
          </w:tblCellMar>
        </w:tblPrEx>
        <w:trPr>
          <w:trHeight w:val="480" w:hRule="atLeast"/>
          <w:jc w:val="center"/>
        </w:trPr>
        <w:tc>
          <w:tcPr>
            <w:tcW w:w="1984"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2"/>
              </w:rPr>
            </w:pP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中心成员</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中心成员配备科学合理，具有相应的课程思政建设实践经验和理论研究基础。</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6</w:t>
            </w:r>
          </w:p>
        </w:tc>
      </w:tr>
      <w:tr>
        <w:tblPrEx>
          <w:tblCellMar>
            <w:top w:w="0" w:type="dxa"/>
            <w:left w:w="108" w:type="dxa"/>
            <w:bottom w:w="0" w:type="dxa"/>
            <w:right w:w="108" w:type="dxa"/>
          </w:tblCellMar>
        </w:tblPrEx>
        <w:trPr>
          <w:trHeight w:val="500" w:hRule="atLeast"/>
          <w:jc w:val="center"/>
        </w:trPr>
        <w:tc>
          <w:tcPr>
            <w:tcW w:w="1984"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2"/>
              </w:rPr>
            </w:pPr>
            <w:r>
              <w:rPr>
                <w:kern w:val="0"/>
                <w:sz w:val="22"/>
              </w:rPr>
              <w:t>建设内容</w:t>
            </w:r>
          </w:p>
          <w:p>
            <w:pPr>
              <w:widowControl/>
              <w:jc w:val="center"/>
              <w:rPr>
                <w:kern w:val="0"/>
                <w:sz w:val="22"/>
              </w:rPr>
            </w:pPr>
            <w:r>
              <w:rPr>
                <w:kern w:val="0"/>
                <w:sz w:val="22"/>
              </w:rPr>
              <w:t>（44分）</w:t>
            </w: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发展定位和主要职责</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中心能聚焦课程思政教学实践和理论研究，以立德树人为根本，找准发展定位，明确主要职责。</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6</w:t>
            </w:r>
          </w:p>
        </w:tc>
      </w:tr>
      <w:tr>
        <w:tblPrEx>
          <w:tblCellMar>
            <w:top w:w="0" w:type="dxa"/>
            <w:left w:w="108" w:type="dxa"/>
            <w:bottom w:w="0" w:type="dxa"/>
            <w:right w:w="108" w:type="dxa"/>
          </w:tblCellMar>
        </w:tblPrEx>
        <w:trPr>
          <w:trHeight w:val="720" w:hRule="atLeast"/>
          <w:jc w:val="center"/>
        </w:trPr>
        <w:tc>
          <w:tcPr>
            <w:tcW w:w="1984"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2"/>
              </w:rPr>
            </w:pP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建设理念</w:t>
            </w:r>
          </w:p>
          <w:p>
            <w:pPr>
              <w:widowControl/>
              <w:jc w:val="center"/>
              <w:rPr>
                <w:kern w:val="0"/>
                <w:sz w:val="22"/>
              </w:rPr>
            </w:pPr>
            <w:r>
              <w:rPr>
                <w:kern w:val="0"/>
                <w:sz w:val="22"/>
              </w:rPr>
              <w:t>与目标</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中心有明确的建设理念与目标。</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6</w:t>
            </w:r>
          </w:p>
        </w:tc>
      </w:tr>
      <w:tr>
        <w:tblPrEx>
          <w:tblCellMar>
            <w:top w:w="0" w:type="dxa"/>
            <w:left w:w="108" w:type="dxa"/>
            <w:bottom w:w="0" w:type="dxa"/>
            <w:right w:w="108" w:type="dxa"/>
          </w:tblCellMar>
        </w:tblPrEx>
        <w:trPr>
          <w:trHeight w:val="720" w:hRule="atLeast"/>
          <w:jc w:val="center"/>
        </w:trPr>
        <w:tc>
          <w:tcPr>
            <w:tcW w:w="1984"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2"/>
              </w:rPr>
            </w:pPr>
          </w:p>
        </w:tc>
        <w:tc>
          <w:tcPr>
            <w:tcW w:w="1475" w:type="dxa"/>
            <w:tcBorders>
              <w:top w:val="nil"/>
              <w:left w:val="nil"/>
              <w:bottom w:val="single" w:color="auto" w:sz="4" w:space="0"/>
              <w:right w:val="single" w:color="auto" w:sz="4" w:space="0"/>
            </w:tcBorders>
            <w:noWrap w:val="0"/>
            <w:vAlign w:val="center"/>
          </w:tcPr>
          <w:p>
            <w:pPr>
              <w:widowControl/>
              <w:ind w:left="-105" w:leftChars="-50" w:right="-105" w:rightChars="-50"/>
              <w:jc w:val="center"/>
              <w:rPr>
                <w:kern w:val="0"/>
                <w:sz w:val="22"/>
              </w:rPr>
            </w:pPr>
            <w:r>
              <w:rPr>
                <w:kern w:val="0"/>
                <w:sz w:val="22"/>
              </w:rPr>
              <w:t>课程思政教学研究与建设</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能逐步形成具有推广价值的经验做法和高质量的研究成果，能指导支持不同学科专业、不同类型课程，立足专业特色和课程育人特点开展课程思政建设，有力推进学校、院系、教师不同层面的课程思政建设，并在校内外形成示范辐射效应。</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8</w:t>
            </w:r>
          </w:p>
        </w:tc>
      </w:tr>
      <w:tr>
        <w:tblPrEx>
          <w:tblCellMar>
            <w:top w:w="0" w:type="dxa"/>
            <w:left w:w="108" w:type="dxa"/>
            <w:bottom w:w="0" w:type="dxa"/>
            <w:right w:w="108" w:type="dxa"/>
          </w:tblCellMar>
        </w:tblPrEx>
        <w:trPr>
          <w:trHeight w:val="420" w:hRule="atLeast"/>
          <w:jc w:val="center"/>
        </w:trPr>
        <w:tc>
          <w:tcPr>
            <w:tcW w:w="1984"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2"/>
              </w:rPr>
            </w:pP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探索创新</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中心能积极探索创新课程思政建设方法路径，形成具有推广价值的经验做法和高质量的研究成果。</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6</w:t>
            </w:r>
          </w:p>
        </w:tc>
      </w:tr>
      <w:tr>
        <w:tblPrEx>
          <w:tblCellMar>
            <w:top w:w="0" w:type="dxa"/>
            <w:left w:w="108" w:type="dxa"/>
            <w:bottom w:w="0" w:type="dxa"/>
            <w:right w:w="108" w:type="dxa"/>
          </w:tblCellMar>
        </w:tblPrEx>
        <w:trPr>
          <w:trHeight w:val="780" w:hRule="atLeast"/>
          <w:jc w:val="center"/>
        </w:trPr>
        <w:tc>
          <w:tcPr>
            <w:tcW w:w="1984"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2"/>
              </w:rPr>
            </w:pP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资源建设</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能建成一批课程思政优质资源，积极引入的国内高校等研究机构优质项目，建立的示范中心网络资源平台等，为各专业课程思政教师提供专业指导、专题讲座、示范案例、教学素材等资源，为教师提供丰富、实用、便利的教学资源。</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6</w:t>
            </w:r>
          </w:p>
        </w:tc>
      </w:tr>
      <w:tr>
        <w:tblPrEx>
          <w:tblCellMar>
            <w:top w:w="0" w:type="dxa"/>
            <w:left w:w="108" w:type="dxa"/>
            <w:bottom w:w="0" w:type="dxa"/>
            <w:right w:w="108" w:type="dxa"/>
          </w:tblCellMar>
        </w:tblPrEx>
        <w:trPr>
          <w:trHeight w:val="780" w:hRule="atLeast"/>
          <w:jc w:val="center"/>
        </w:trPr>
        <w:tc>
          <w:tcPr>
            <w:tcW w:w="1984"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2"/>
              </w:rPr>
            </w:pP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培训交流</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中心能开展经常性的课程思政建设教师交流、观摩和培训活动，汇聚专业课和思政课教师合力，积极推动教师课程思政建设能力整体提高。</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6</w:t>
            </w:r>
          </w:p>
        </w:tc>
      </w:tr>
      <w:tr>
        <w:tblPrEx>
          <w:tblCellMar>
            <w:top w:w="0" w:type="dxa"/>
            <w:left w:w="108" w:type="dxa"/>
            <w:bottom w:w="0" w:type="dxa"/>
            <w:right w:w="108" w:type="dxa"/>
          </w:tblCellMar>
        </w:tblPrEx>
        <w:trPr>
          <w:trHeight w:val="780" w:hRule="atLeast"/>
          <w:jc w:val="center"/>
        </w:trPr>
        <w:tc>
          <w:tcPr>
            <w:tcW w:w="1984"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2"/>
              </w:rPr>
            </w:pP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评价体系</w:t>
            </w:r>
          </w:p>
          <w:p>
            <w:pPr>
              <w:widowControl/>
              <w:jc w:val="center"/>
              <w:rPr>
                <w:kern w:val="0"/>
                <w:sz w:val="22"/>
              </w:rPr>
            </w:pPr>
            <w:r>
              <w:rPr>
                <w:kern w:val="0"/>
                <w:sz w:val="22"/>
              </w:rPr>
              <w:t>建设</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中心能探索建立课程思政建设质量评价体系和激励机制，推动学校将课程思政建设成效纳入院系、教师的绩效考核内容，不断提高教师开展课程思政建设的积极性、主动性。</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6</w:t>
            </w:r>
          </w:p>
        </w:tc>
      </w:tr>
      <w:tr>
        <w:tblPrEx>
          <w:tblCellMar>
            <w:top w:w="0" w:type="dxa"/>
            <w:left w:w="108" w:type="dxa"/>
            <w:bottom w:w="0" w:type="dxa"/>
            <w:right w:w="108" w:type="dxa"/>
          </w:tblCellMar>
        </w:tblPrEx>
        <w:trPr>
          <w:trHeight w:val="660" w:hRule="atLeast"/>
          <w:jc w:val="center"/>
        </w:trPr>
        <w:tc>
          <w:tcPr>
            <w:tcW w:w="1984"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2"/>
              </w:rPr>
            </w:pPr>
            <w:r>
              <w:rPr>
                <w:kern w:val="0"/>
                <w:sz w:val="22"/>
              </w:rPr>
              <w:t>成果成效</w:t>
            </w:r>
          </w:p>
          <w:p>
            <w:pPr>
              <w:widowControl/>
              <w:jc w:val="center"/>
              <w:rPr>
                <w:kern w:val="0"/>
                <w:sz w:val="22"/>
              </w:rPr>
            </w:pPr>
            <w:r>
              <w:rPr>
                <w:kern w:val="0"/>
                <w:sz w:val="22"/>
              </w:rPr>
              <w:t>（16分）</w:t>
            </w:r>
          </w:p>
        </w:tc>
        <w:tc>
          <w:tcPr>
            <w:tcW w:w="1475" w:type="dxa"/>
            <w:tcBorders>
              <w:top w:val="nil"/>
              <w:left w:val="nil"/>
              <w:bottom w:val="single" w:color="auto" w:sz="4" w:space="0"/>
              <w:right w:val="single" w:color="auto" w:sz="4" w:space="0"/>
            </w:tcBorders>
            <w:noWrap w:val="0"/>
            <w:vAlign w:val="center"/>
          </w:tcPr>
          <w:p>
            <w:pPr>
              <w:widowControl/>
              <w:ind w:left="-105" w:leftChars="-50" w:right="-105" w:rightChars="-50"/>
              <w:jc w:val="center"/>
              <w:rPr>
                <w:kern w:val="0"/>
                <w:sz w:val="22"/>
              </w:rPr>
            </w:pPr>
            <w:r>
              <w:rPr>
                <w:kern w:val="0"/>
                <w:sz w:val="22"/>
              </w:rPr>
              <w:t>拟取得的成果</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中心在课程思政建设方面能取得突出成效，能自主设立课程思政特色研究项目，推动课程思政教学研究成果产出，能获评省级及以上研究生课程思政示范项目，促进中心整体发展。</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8</w:t>
            </w:r>
          </w:p>
        </w:tc>
      </w:tr>
      <w:tr>
        <w:tblPrEx>
          <w:tblCellMar>
            <w:top w:w="0" w:type="dxa"/>
            <w:left w:w="108" w:type="dxa"/>
            <w:bottom w:w="0" w:type="dxa"/>
            <w:right w:w="108" w:type="dxa"/>
          </w:tblCellMar>
        </w:tblPrEx>
        <w:trPr>
          <w:trHeight w:val="460" w:hRule="atLeast"/>
          <w:jc w:val="center"/>
        </w:trPr>
        <w:tc>
          <w:tcPr>
            <w:tcW w:w="1984"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2"/>
              </w:rPr>
            </w:pPr>
          </w:p>
        </w:tc>
        <w:tc>
          <w:tcPr>
            <w:tcW w:w="1475" w:type="dxa"/>
            <w:tcBorders>
              <w:top w:val="nil"/>
              <w:left w:val="nil"/>
              <w:bottom w:val="single" w:color="auto" w:sz="4" w:space="0"/>
              <w:right w:val="single" w:color="auto" w:sz="4" w:space="0"/>
            </w:tcBorders>
            <w:noWrap w:val="0"/>
            <w:vAlign w:val="center"/>
          </w:tcPr>
          <w:p>
            <w:pPr>
              <w:widowControl/>
              <w:ind w:left="-105" w:leftChars="-50" w:right="-105" w:rightChars="-50"/>
              <w:jc w:val="center"/>
              <w:rPr>
                <w:kern w:val="0"/>
                <w:sz w:val="22"/>
              </w:rPr>
            </w:pPr>
            <w:r>
              <w:rPr>
                <w:kern w:val="0"/>
                <w:sz w:val="22"/>
              </w:rPr>
              <w:t>成果推广使用</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中心能有效指导和有力推进学校、院系、教师不同层面的课程思政建设，并在校内外形成示范辐射效应。</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8</w:t>
            </w:r>
          </w:p>
        </w:tc>
      </w:tr>
      <w:tr>
        <w:tblPrEx>
          <w:tblCellMar>
            <w:top w:w="0" w:type="dxa"/>
            <w:left w:w="108" w:type="dxa"/>
            <w:bottom w:w="0" w:type="dxa"/>
            <w:right w:w="108" w:type="dxa"/>
          </w:tblCellMar>
        </w:tblPrEx>
        <w:trPr>
          <w:trHeight w:val="526" w:hRule="atLeast"/>
          <w:jc w:val="center"/>
        </w:trPr>
        <w:tc>
          <w:tcPr>
            <w:tcW w:w="1984"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2"/>
              </w:rPr>
            </w:pPr>
            <w:r>
              <w:rPr>
                <w:kern w:val="0"/>
                <w:sz w:val="22"/>
              </w:rPr>
              <w:t>支持保障</w:t>
            </w:r>
          </w:p>
          <w:p>
            <w:pPr>
              <w:widowControl/>
              <w:jc w:val="center"/>
              <w:rPr>
                <w:kern w:val="0"/>
                <w:sz w:val="22"/>
              </w:rPr>
            </w:pPr>
            <w:r>
              <w:rPr>
                <w:kern w:val="0"/>
                <w:sz w:val="22"/>
              </w:rPr>
              <w:t>（18分）</w:t>
            </w: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政策支持</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学校出台保障政策文件，规范中心课程思政教研评价制度、培训制度、奖惩制度等，并确保文件有效实施。</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6</w:t>
            </w:r>
          </w:p>
        </w:tc>
      </w:tr>
      <w:tr>
        <w:tblPrEx>
          <w:tblCellMar>
            <w:top w:w="0" w:type="dxa"/>
            <w:left w:w="108" w:type="dxa"/>
            <w:bottom w:w="0" w:type="dxa"/>
            <w:right w:w="108" w:type="dxa"/>
          </w:tblCellMar>
        </w:tblPrEx>
        <w:trPr>
          <w:trHeight w:val="526" w:hRule="atLeast"/>
          <w:jc w:val="center"/>
        </w:trPr>
        <w:tc>
          <w:tcPr>
            <w:tcW w:w="1984"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2"/>
              </w:rPr>
            </w:pP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经费投入</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学校有充足的经费支持中心建设，能够保障中心开展相关工作。</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6</w:t>
            </w:r>
          </w:p>
        </w:tc>
      </w:tr>
      <w:tr>
        <w:tblPrEx>
          <w:tblCellMar>
            <w:top w:w="0" w:type="dxa"/>
            <w:left w:w="108" w:type="dxa"/>
            <w:bottom w:w="0" w:type="dxa"/>
            <w:right w:w="108" w:type="dxa"/>
          </w:tblCellMar>
        </w:tblPrEx>
        <w:trPr>
          <w:trHeight w:val="526" w:hRule="atLeast"/>
          <w:jc w:val="center"/>
        </w:trPr>
        <w:tc>
          <w:tcPr>
            <w:tcW w:w="1984"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2"/>
              </w:rPr>
            </w:pPr>
          </w:p>
        </w:tc>
        <w:tc>
          <w:tcPr>
            <w:tcW w:w="1475"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硬件设备</w:t>
            </w:r>
          </w:p>
        </w:tc>
        <w:tc>
          <w:tcPr>
            <w:tcW w:w="10460" w:type="dxa"/>
            <w:tcBorders>
              <w:top w:val="nil"/>
              <w:left w:val="nil"/>
              <w:bottom w:val="single" w:color="auto" w:sz="4" w:space="0"/>
              <w:right w:val="single" w:color="auto" w:sz="4" w:space="0"/>
            </w:tcBorders>
            <w:noWrap w:val="0"/>
            <w:vAlign w:val="center"/>
          </w:tcPr>
          <w:p>
            <w:pPr>
              <w:widowControl/>
              <w:jc w:val="left"/>
              <w:rPr>
                <w:kern w:val="0"/>
                <w:sz w:val="22"/>
              </w:rPr>
            </w:pPr>
            <w:r>
              <w:rPr>
                <w:kern w:val="0"/>
                <w:sz w:val="22"/>
              </w:rPr>
              <w:t>中心有专用的办公和教学研究场所，配备满足教学科研需要的电脑、打印机等硬件设施和图书资料等。</w:t>
            </w:r>
          </w:p>
        </w:tc>
        <w:tc>
          <w:tcPr>
            <w:tcW w:w="1000" w:type="dxa"/>
            <w:tcBorders>
              <w:top w:val="nil"/>
              <w:left w:val="nil"/>
              <w:bottom w:val="single" w:color="auto" w:sz="4" w:space="0"/>
              <w:right w:val="single" w:color="auto" w:sz="4" w:space="0"/>
            </w:tcBorders>
            <w:noWrap w:val="0"/>
            <w:vAlign w:val="center"/>
          </w:tcPr>
          <w:p>
            <w:pPr>
              <w:widowControl/>
              <w:jc w:val="center"/>
              <w:rPr>
                <w:kern w:val="0"/>
                <w:sz w:val="22"/>
              </w:rPr>
            </w:pPr>
            <w:r>
              <w:rPr>
                <w:kern w:val="0"/>
                <w:sz w:val="22"/>
              </w:rPr>
              <w:t>6</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YTViYTcyNDAzNGIwNDc5MjU5MTc5M2E0MjA1ZjEifQ=="/>
  </w:docVars>
  <w:rsids>
    <w:rsidRoot w:val="49597821"/>
    <w:rsid w:val="4959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2023-08-12T14:32:00Z</dcterms:created>
  <dc:creator>434575419</dc:creator>
  <cp:lastModifiedBy>434575419</cp:lastModifiedBy>
  <dcterms:modified xsi:type="dcterms:W3CDTF">2023-08-12T14:34:37Z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ED71232FD7BF48359B2ABF52827B229F_11</vt:lpwstr>
  </property>
</Properties>
</file>